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000" w:firstRow="0" w:lastRow="0" w:firstColumn="0" w:lastColumn="0" w:noHBand="0" w:noVBand="0"/>
      </w:tblPr>
      <w:tblGrid>
        <w:gridCol w:w="4989"/>
        <w:gridCol w:w="4989"/>
      </w:tblGrid>
      <w:tr w:rsidR="00374956">
        <w:tblPrEx>
          <w:tblCellMar>
            <w:top w:w="0" w:type="dxa"/>
            <w:bottom w:w="0" w:type="dxa"/>
          </w:tblCellMar>
        </w:tblPrEx>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tcPr>
          <w:p w:rsidR="00374956" w:rsidRDefault="00000000">
            <w:pPr>
              <w:pStyle w:val="Heading11"/>
              <w:widowControl/>
              <w:shd w:val="clear" w:color="auto" w:fill="auto"/>
              <w:spacing w:after="0" w:line="400" w:lineRule="exact"/>
              <w:jc w:val="center"/>
            </w:pPr>
            <w:r>
              <w:rPr>
                <w:sz w:val="28"/>
                <w:szCs w:val="28"/>
              </w:rPr>
              <w:t>Azione climatica</w:t>
            </w:r>
          </w:p>
          <w:p w:rsidR="00374956" w:rsidRDefault="00000000">
            <w:pPr>
              <w:pStyle w:val="Heading11"/>
              <w:widowControl/>
              <w:shd w:val="clear" w:color="auto" w:fill="auto"/>
              <w:spacing w:after="0" w:line="400" w:lineRule="exact"/>
              <w:jc w:val="center"/>
              <w:rPr>
                <w:sz w:val="30"/>
                <w:szCs w:val="30"/>
              </w:rPr>
            </w:pPr>
            <w:r>
              <w:rPr>
                <w:sz w:val="30"/>
                <w:szCs w:val="30"/>
              </w:rPr>
              <w:t>Territorio, agricoltura</w:t>
            </w:r>
          </w:p>
          <w:p w:rsidR="00374956" w:rsidRDefault="00000000">
            <w:pPr>
              <w:pStyle w:val="Heading11"/>
              <w:widowControl/>
              <w:shd w:val="clear" w:color="auto" w:fill="auto"/>
              <w:spacing w:after="0" w:line="400" w:lineRule="exact"/>
              <w:jc w:val="center"/>
              <w:rPr>
                <w:sz w:val="30"/>
                <w:szCs w:val="30"/>
              </w:rPr>
            </w:pPr>
            <w:r>
              <w:rPr>
                <w:sz w:val="30"/>
                <w:szCs w:val="30"/>
              </w:rPr>
              <w:t>e selvicoltura</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374956" w:rsidRDefault="00000000">
            <w:pPr>
              <w:pStyle w:val="TableContents"/>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posOffset>0</wp:posOffset>
                  </wp:positionH>
                  <wp:positionV relativeFrom="paragraph">
                    <wp:posOffset>74157</wp:posOffset>
                  </wp:positionV>
                  <wp:extent cx="2990883" cy="724680"/>
                  <wp:effectExtent l="0" t="0" r="6317" b="0"/>
                  <wp:wrapSquare wrapText="bothSides"/>
                  <wp:docPr id="1851662195"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990883" cy="724680"/>
                          </a:xfrm>
                          <a:prstGeom prst="rect">
                            <a:avLst/>
                          </a:prstGeom>
                          <a:noFill/>
                          <a:ln>
                            <a:noFill/>
                            <a:prstDash/>
                          </a:ln>
                        </pic:spPr>
                      </pic:pic>
                    </a:graphicData>
                  </a:graphic>
                </wp:anchor>
              </w:drawing>
            </w:r>
          </w:p>
        </w:tc>
      </w:tr>
    </w:tbl>
    <w:p w:rsidR="00374956" w:rsidRDefault="00374956">
      <w:pPr>
        <w:pStyle w:val="Bodytext3"/>
        <w:widowControl/>
        <w:pBdr>
          <w:top w:val="single" w:sz="4" w:space="1" w:color="000000"/>
        </w:pBdr>
        <w:shd w:val="clear" w:color="auto" w:fill="auto"/>
        <w:tabs>
          <w:tab w:val="left" w:pos="1429"/>
        </w:tabs>
        <w:spacing w:before="0" w:line="240" w:lineRule="auto"/>
        <w:rPr>
          <w:rFonts w:ascii="Arial" w:hAnsi="Arial"/>
        </w:rPr>
      </w:pPr>
    </w:p>
    <w:p w:rsidR="00374956"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Territorio, Agricoltura e selvicoltura</w:t>
      </w:r>
    </w:p>
    <w:p w:rsidR="00374956"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374956" w:rsidRDefault="00000000">
      <w:pPr>
        <w:widowControl/>
        <w:spacing w:after="120" w:line="283" w:lineRule="exact"/>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374956" w:rsidRDefault="00000000">
      <w:pPr>
        <w:widowControl/>
        <w:spacing w:after="120" w:line="283" w:lineRule="exact"/>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374956" w:rsidRDefault="00000000">
      <w:pPr>
        <w:widowControl/>
        <w:spacing w:after="120" w:line="283" w:lineRule="exact"/>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374956" w:rsidRDefault="00000000">
      <w:pPr>
        <w:widowControl/>
        <w:spacing w:after="120" w:line="283" w:lineRule="exact"/>
        <w:jc w:val="both"/>
      </w:pPr>
      <w:r>
        <w:rPr>
          <w:rFonts w:ascii="Arial" w:hAnsi="Arial"/>
          <w:color w:val="000000"/>
          <w:sz w:val="22"/>
          <w:szCs w:val="22"/>
        </w:rPr>
        <w:t>Il nostro</w:t>
      </w:r>
      <w:r>
        <w:rPr>
          <w:rFonts w:ascii="Arial" w:hAnsi="Arial"/>
          <w:sz w:val="22"/>
          <w:szCs w:val="22"/>
        </w:rPr>
        <w:t xml:space="preserve"> gruppo racchiude rappresentanti dei Ministeri </w:t>
      </w:r>
      <w:r>
        <w:rPr>
          <w:rFonts w:ascii="Arial" w:hAnsi="Arial"/>
          <w:color w:val="000000"/>
          <w:sz w:val="22"/>
          <w:szCs w:val="22"/>
        </w:rPr>
        <w:t xml:space="preserve">dell’Agricoltura e delle Foreste, </w:t>
      </w:r>
      <w:r>
        <w:rPr>
          <w:rFonts w:ascii="Arial" w:hAnsi="Arial"/>
          <w:sz w:val="22"/>
          <w:szCs w:val="22"/>
        </w:rPr>
        <w:t xml:space="preserve">delle maggiori aziende agricole, alimentari e forestali, dei più grandi proprietari </w:t>
      </w:r>
      <w:r>
        <w:rPr>
          <w:rFonts w:ascii="Arial" w:hAnsi="Arial"/>
          <w:color w:val="000000"/>
          <w:sz w:val="22"/>
          <w:szCs w:val="22"/>
        </w:rPr>
        <w:t xml:space="preserve">agricoli, delle Istituzioni per la tutela </w:t>
      </w:r>
      <w:r>
        <w:rPr>
          <w:rFonts w:ascii="Arial" w:hAnsi="Arial"/>
          <w:sz w:val="22"/>
          <w:szCs w:val="22"/>
        </w:rPr>
        <w:t xml:space="preserve">del </w:t>
      </w:r>
      <w:r>
        <w:rPr>
          <w:rFonts w:ascii="Arial" w:hAnsi="Arial"/>
          <w:color w:val="000000"/>
          <w:sz w:val="22"/>
          <w:szCs w:val="22"/>
        </w:rPr>
        <w:t>territorio</w:t>
      </w:r>
      <w:r>
        <w:rPr>
          <w:rFonts w:ascii="Arial" w:hAnsi="Arial"/>
          <w:sz w:val="22"/>
          <w:szCs w:val="22"/>
        </w:rPr>
        <w:t xml:space="preserve">. Il nostro obiettivo è </w:t>
      </w:r>
      <w:r>
        <w:rPr>
          <w:rFonts w:ascii="Arial" w:hAnsi="Arial"/>
          <w:color w:val="000000"/>
          <w:sz w:val="22"/>
          <w:szCs w:val="22"/>
        </w:rPr>
        <w:t>concentrarci</w:t>
      </w:r>
      <w:r>
        <w:rPr>
          <w:rFonts w:ascii="Arial" w:hAnsi="Arial"/>
          <w:sz w:val="22"/>
          <w:szCs w:val="22"/>
        </w:rPr>
        <w:t xml:space="preserve"> sulla sicurezza alimentare globale, sulla </w:t>
      </w:r>
      <w:r>
        <w:rPr>
          <w:rFonts w:ascii="Arial" w:hAnsi="Arial"/>
          <w:color w:val="000000"/>
          <w:sz w:val="22"/>
          <w:szCs w:val="22"/>
        </w:rPr>
        <w:t>protezione delle foreste e contemporaneamente sull’azione contro il riscaldamento globale.</w:t>
      </w:r>
    </w:p>
    <w:p w:rsidR="00374956" w:rsidRDefault="00000000">
      <w:pPr>
        <w:widowControl/>
        <w:spacing w:after="120" w:line="283" w:lineRule="exact"/>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374956" w:rsidRDefault="00000000">
      <w:pPr>
        <w:widowControl/>
        <w:tabs>
          <w:tab w:val="left" w:pos="366"/>
        </w:tabs>
        <w:spacing w:after="120" w:line="283" w:lineRule="exact"/>
        <w:jc w:val="both"/>
      </w:pPr>
      <w:r>
        <w:rPr>
          <w:rStyle w:val="Bodytext2Bold"/>
          <w:rFonts w:ascii="Arial" w:hAnsi="Arial"/>
        </w:rPr>
        <w:t xml:space="preserve">1. Deforestazione. </w:t>
      </w:r>
      <w:r>
        <w:rPr>
          <w:rFonts w:ascii="Arial" w:hAnsi="Arial"/>
          <w:sz w:val="22"/>
          <w:szCs w:val="22"/>
        </w:rPr>
        <w:t xml:space="preserve">La protezione delle foreste può ridurre </w:t>
      </w:r>
      <w:r>
        <w:rPr>
          <w:rFonts w:ascii="Arial" w:hAnsi="Arial"/>
          <w:color w:val="000000"/>
          <w:sz w:val="22"/>
          <w:szCs w:val="22"/>
        </w:rPr>
        <w:t>le</w:t>
      </w:r>
      <w:r>
        <w:rPr>
          <w:rFonts w:ascii="Arial" w:hAnsi="Arial"/>
          <w:sz w:val="22"/>
          <w:szCs w:val="22"/>
        </w:rPr>
        <w:t xml:space="preserve"> emissioni, preservando al tempo stesso la biodiversità e l'approvvigionamento idrico. Limitando la deforestazione si riduce però anche il potenziale utilizzo dei terreni boschivi per la produzione di legname, la produzione alimentare, la bioenergia e altre attività altamente redditizie. </w:t>
      </w:r>
      <w:r>
        <w:rPr>
          <w:rStyle w:val="Bodytext20"/>
          <w:rFonts w:ascii="Arial" w:hAnsi="Arial"/>
        </w:rPr>
        <w:t>La deforestazione è causata sia dai piccoli agricoltori sia dalle popolazioni rurali che hanno bisogno di superfici agricole ma anche da grandi aziende, che abbattono gli alberi per il legname e per l’agricoltura intensiva, ad esempio la trasformazione delle foreste tropicali in piantagioni di palma da olio, in allevamenti di bovini o per la produzione agricola.</w:t>
      </w:r>
    </w:p>
    <w:p w:rsidR="00374956" w:rsidRDefault="00000000">
      <w:pPr>
        <w:widowControl/>
        <w:tabs>
          <w:tab w:val="left" w:pos="366"/>
        </w:tabs>
        <w:spacing w:after="119" w:line="283" w:lineRule="exact"/>
        <w:jc w:val="both"/>
      </w:pPr>
      <w:r>
        <w:rPr>
          <w:rStyle w:val="Bodytext2Bold"/>
          <w:rFonts w:ascii="Arial" w:hAnsi="Arial"/>
        </w:rPr>
        <w:t xml:space="preserve">2. </w:t>
      </w:r>
      <w:proofErr w:type="spellStart"/>
      <w:r>
        <w:rPr>
          <w:rStyle w:val="Bodytext2Bold"/>
          <w:rFonts w:ascii="Arial" w:hAnsi="Arial"/>
        </w:rPr>
        <w:t>Afforestazione</w:t>
      </w:r>
      <w:proofErr w:type="spellEnd"/>
      <w:r>
        <w:rPr>
          <w:rStyle w:val="Bodytext2Bold"/>
          <w:rFonts w:ascii="Arial" w:hAnsi="Arial"/>
        </w:rPr>
        <w:t xml:space="preserve">. </w:t>
      </w:r>
      <w:r>
        <w:rPr>
          <w:rFonts w:ascii="Arial" w:hAnsi="Arial"/>
          <w:sz w:val="22"/>
          <w:szCs w:val="22"/>
        </w:rPr>
        <w:t>L’</w:t>
      </w:r>
      <w:proofErr w:type="spellStart"/>
      <w:r>
        <w:rPr>
          <w:rFonts w:ascii="Arial" w:hAnsi="Arial"/>
          <w:sz w:val="22"/>
          <w:szCs w:val="22"/>
        </w:rPr>
        <w:t>afforestazione</w:t>
      </w:r>
      <w:proofErr w:type="spellEnd"/>
      <w:r>
        <w:rPr>
          <w:rFonts w:ascii="Arial" w:hAnsi="Arial"/>
          <w:sz w:val="22"/>
          <w:szCs w:val="22"/>
        </w:rPr>
        <w:t xml:space="preserve"> è piantare alberi per generare nuove foreste su terreni </w:t>
      </w:r>
      <w:r>
        <w:rPr>
          <w:rFonts w:ascii="Arial" w:hAnsi="Arial"/>
          <w:color w:val="000000"/>
          <w:sz w:val="22"/>
          <w:szCs w:val="22"/>
        </w:rPr>
        <w:t>senza</w:t>
      </w:r>
      <w:r>
        <w:rPr>
          <w:rFonts w:ascii="Arial" w:hAnsi="Arial"/>
          <w:sz w:val="22"/>
          <w:szCs w:val="22"/>
        </w:rPr>
        <w:t xml:space="preserve"> alberi; talvolta su terreni dove le foreste sono state nel passato degradate o distrutte. </w:t>
      </w:r>
      <w:r>
        <w:rPr>
          <w:rFonts w:ascii="Arial" w:hAnsi="Arial"/>
          <w:color w:val="000000"/>
          <w:sz w:val="22"/>
          <w:szCs w:val="22"/>
        </w:rPr>
        <w:t>Con la crescita delle foreste, aumenta la rimozione e il sequestro di CO</w:t>
      </w:r>
      <w:r>
        <w:rPr>
          <w:rFonts w:ascii="Arial" w:hAnsi="Arial"/>
          <w:color w:val="000000"/>
          <w:sz w:val="22"/>
          <w:szCs w:val="22"/>
          <w:vertAlign w:val="subscript"/>
        </w:rPr>
        <w:t>2</w:t>
      </w:r>
      <w:r>
        <w:rPr>
          <w:rFonts w:ascii="Arial" w:hAnsi="Arial"/>
          <w:color w:val="000000"/>
          <w:sz w:val="22"/>
          <w:szCs w:val="22"/>
        </w:rPr>
        <w:t xml:space="preserve"> dall’atmosfera ed essa viene immagazzinata nella biomassa e nel suolo. Le foreste aiutano a conservare gli habitat e la biodiversità, a rallentare l’erosione e il degrado del suolo, proteggono dalle esondazioni. Se realizzata su vasta scala l’</w:t>
      </w:r>
      <w:proofErr w:type="spellStart"/>
      <w:r>
        <w:rPr>
          <w:rFonts w:ascii="Arial" w:hAnsi="Arial"/>
          <w:color w:val="000000"/>
          <w:sz w:val="22"/>
          <w:szCs w:val="22"/>
        </w:rPr>
        <w:t>afforestazione</w:t>
      </w:r>
      <w:proofErr w:type="spellEnd"/>
      <w:r>
        <w:rPr>
          <w:rFonts w:ascii="Arial" w:hAnsi="Arial"/>
          <w:color w:val="000000"/>
          <w:sz w:val="22"/>
          <w:szCs w:val="22"/>
        </w:rPr>
        <w:t xml:space="preserve"> potrebbe coinvolgere terreni necessari per l’agricoltura o l’allevamento, generando l’aumento dei prezzi del cibo a causa di una maggiore competizione per il suolo. Da valutare inoltre l’estensione del terreno necessaria per qualsiasi politica di </w:t>
      </w:r>
      <w:proofErr w:type="spellStart"/>
      <w:r>
        <w:rPr>
          <w:rFonts w:ascii="Arial" w:hAnsi="Arial"/>
          <w:color w:val="000000"/>
          <w:sz w:val="22"/>
          <w:szCs w:val="22"/>
        </w:rPr>
        <w:t>afforestazione</w:t>
      </w:r>
      <w:proofErr w:type="spellEnd"/>
      <w:r>
        <w:rPr>
          <w:rFonts w:ascii="Arial" w:hAnsi="Arial"/>
          <w:color w:val="000000"/>
          <w:sz w:val="22"/>
          <w:szCs w:val="22"/>
        </w:rPr>
        <w:t>.</w:t>
      </w:r>
    </w:p>
    <w:p w:rsidR="00374956" w:rsidRDefault="00000000">
      <w:pPr>
        <w:widowControl/>
        <w:tabs>
          <w:tab w:val="left" w:pos="461"/>
        </w:tabs>
        <w:spacing w:after="119" w:line="283" w:lineRule="exact"/>
        <w:jc w:val="both"/>
      </w:pPr>
      <w:r>
        <w:rPr>
          <w:rFonts w:ascii="Arial" w:hAnsi="Arial"/>
          <w:b/>
          <w:sz w:val="22"/>
          <w:szCs w:val="22"/>
        </w:rPr>
        <w:t xml:space="preserve">3. </w:t>
      </w:r>
      <w:r>
        <w:rPr>
          <w:rFonts w:ascii="Arial" w:hAnsi="Arial"/>
          <w:b/>
          <w:color w:val="000000"/>
          <w:sz w:val="22"/>
          <w:szCs w:val="22"/>
        </w:rPr>
        <w:t>E</w:t>
      </w:r>
      <w:r>
        <w:rPr>
          <w:rFonts w:ascii="Arial" w:hAnsi="Arial"/>
          <w:b/>
          <w:sz w:val="22"/>
          <w:szCs w:val="22"/>
        </w:rPr>
        <w:t xml:space="preserve">missioni di metano, protossido di azoto e altri gas a effetto serra. </w:t>
      </w:r>
      <w:r>
        <w:t xml:space="preserve"> </w:t>
      </w:r>
      <w:r>
        <w:rPr>
          <w:rFonts w:ascii="Arial" w:hAnsi="Arial"/>
          <w:color w:val="000000"/>
          <w:sz w:val="22"/>
          <w:szCs w:val="22"/>
        </w:rPr>
        <w:t>Il diossido di carbonio (</w:t>
      </w:r>
      <w:r>
        <w:rPr>
          <w:rFonts w:ascii="Arial" w:hAnsi="Arial"/>
          <w:sz w:val="22"/>
          <w:szCs w:val="22"/>
        </w:rPr>
        <w:t>CO</w:t>
      </w:r>
      <w:r>
        <w:rPr>
          <w:rFonts w:ascii="Arial" w:hAnsi="Arial"/>
          <w:sz w:val="22"/>
          <w:szCs w:val="22"/>
          <w:vertAlign w:val="subscript"/>
        </w:rPr>
        <w:t>2</w:t>
      </w:r>
      <w:r>
        <w:rPr>
          <w:rFonts w:ascii="Arial" w:hAnsi="Arial"/>
          <w:sz w:val="22"/>
          <w:szCs w:val="22"/>
        </w:rPr>
        <w:t xml:space="preserve">) </w:t>
      </w:r>
      <w:r>
        <w:rPr>
          <w:rStyle w:val="Bodytext3NotBold"/>
          <w:rFonts w:ascii="Arial" w:hAnsi="Arial"/>
          <w:b w:val="0"/>
          <w:bCs w:val="0"/>
        </w:rPr>
        <w:t>è certo</w:t>
      </w:r>
      <w:r>
        <w:rPr>
          <w:rFonts w:ascii="Arial" w:hAnsi="Arial"/>
          <w:sz w:val="22"/>
          <w:szCs w:val="22"/>
        </w:rPr>
        <w:t xml:space="preserve"> il principale gas a effetto serra, ma gli altri gas serra, specialmente il metano (CH</w:t>
      </w:r>
      <w:r>
        <w:rPr>
          <w:rFonts w:ascii="Arial" w:hAnsi="Arial"/>
          <w:sz w:val="22"/>
          <w:szCs w:val="22"/>
          <w:vertAlign w:val="subscript"/>
        </w:rPr>
        <w:t>4</w:t>
      </w:r>
      <w:r>
        <w:rPr>
          <w:rFonts w:ascii="Arial" w:hAnsi="Arial"/>
          <w:sz w:val="22"/>
          <w:szCs w:val="22"/>
        </w:rPr>
        <w:t>) e il protossido di azoto (N</w:t>
      </w:r>
      <w:r>
        <w:rPr>
          <w:rFonts w:ascii="Arial" w:hAnsi="Arial"/>
          <w:sz w:val="22"/>
          <w:szCs w:val="22"/>
          <w:vertAlign w:val="subscript"/>
        </w:rPr>
        <w:t>2</w:t>
      </w:r>
      <w:r>
        <w:rPr>
          <w:rFonts w:ascii="Arial" w:hAnsi="Arial"/>
          <w:sz w:val="22"/>
          <w:szCs w:val="22"/>
        </w:rPr>
        <w:t xml:space="preserve">O) sono attualmente responsabili di circa un quarto del riscaldamento globale e le loro concentrazioni nell'atmosfera sono in aumento. </w:t>
      </w:r>
      <w:r>
        <w:rPr>
          <w:rFonts w:ascii="Arial" w:hAnsi="Arial"/>
          <w:color w:val="000000"/>
          <w:sz w:val="22"/>
          <w:szCs w:val="22"/>
        </w:rPr>
        <w:t>In un intervallo di cento anni</w:t>
      </w:r>
      <w:r>
        <w:rPr>
          <w:rFonts w:ascii="Arial" w:hAnsi="Arial"/>
          <w:sz w:val="22"/>
          <w:szCs w:val="22"/>
        </w:rPr>
        <w:t xml:space="preserve"> una molecola di </w:t>
      </w:r>
      <w:r>
        <w:rPr>
          <w:rFonts w:ascii="Arial" w:hAnsi="Arial"/>
          <w:color w:val="000000"/>
          <w:sz w:val="22"/>
          <w:szCs w:val="22"/>
        </w:rPr>
        <w:t>metano è circa 25 volte</w:t>
      </w:r>
      <w:r>
        <w:rPr>
          <w:rFonts w:ascii="Arial" w:hAnsi="Arial"/>
          <w:sz w:val="22"/>
          <w:szCs w:val="22"/>
        </w:rPr>
        <w:t xml:space="preserve"> più potente di una molecola di CO</w:t>
      </w:r>
      <w:r>
        <w:rPr>
          <w:rFonts w:ascii="Arial" w:hAnsi="Arial"/>
          <w:sz w:val="22"/>
          <w:szCs w:val="22"/>
          <w:vertAlign w:val="subscript"/>
        </w:rPr>
        <w:t>2</w:t>
      </w:r>
      <w:r>
        <w:rPr>
          <w:rFonts w:ascii="Arial" w:hAnsi="Arial"/>
          <w:sz w:val="22"/>
          <w:szCs w:val="22"/>
        </w:rPr>
        <w:t xml:space="preserve"> in termini di effetto serra e il protossido di azoto circa 300 volte in più.</w:t>
      </w:r>
      <w:r w:rsidR="00DF59EA">
        <w:t xml:space="preserve"> </w:t>
      </w:r>
      <w:r>
        <w:rPr>
          <w:rFonts w:ascii="Arial" w:hAnsi="Arial"/>
          <w:sz w:val="22"/>
          <w:szCs w:val="22"/>
        </w:rPr>
        <w:t xml:space="preserve">Le attuali pratiche agricole e </w:t>
      </w:r>
      <w:r>
        <w:rPr>
          <w:rFonts w:ascii="Arial" w:hAnsi="Arial"/>
          <w:color w:val="000000"/>
          <w:sz w:val="22"/>
          <w:szCs w:val="22"/>
        </w:rPr>
        <w:t>di produzione di bestiame</w:t>
      </w:r>
      <w:r>
        <w:rPr>
          <w:rFonts w:ascii="Arial" w:hAnsi="Arial"/>
          <w:sz w:val="22"/>
          <w:szCs w:val="22"/>
        </w:rPr>
        <w:t xml:space="preserve"> sono le principali fonti di metano mentre il protossido di azoto deriva principalmente dall'uso di fertilizzanti. </w:t>
      </w:r>
      <w:r>
        <w:rPr>
          <w:rFonts w:ascii="Arial" w:hAnsi="Arial"/>
          <w:color w:val="000000"/>
          <w:sz w:val="22"/>
          <w:szCs w:val="22"/>
        </w:rPr>
        <w:t>T</w:t>
      </w:r>
      <w:r>
        <w:rPr>
          <w:rFonts w:ascii="Arial" w:hAnsi="Arial"/>
          <w:sz w:val="22"/>
          <w:szCs w:val="22"/>
        </w:rPr>
        <w:t xml:space="preserve">ecnologie e pratiche </w:t>
      </w:r>
      <w:r>
        <w:rPr>
          <w:rFonts w:ascii="Arial" w:hAnsi="Arial"/>
          <w:sz w:val="22"/>
          <w:szCs w:val="22"/>
        </w:rPr>
        <w:lastRenderedPageBreak/>
        <w:t xml:space="preserve">innovative possono ridurre tali emissioni a costi contenuti, ma molti ambientalisti chiedono una maggiore regolamentazione (ad esempio limitazioni all'uso di fertilizzanti) o cambiamenti </w:t>
      </w:r>
      <w:r>
        <w:rPr>
          <w:rFonts w:ascii="Arial" w:hAnsi="Arial"/>
          <w:color w:val="000000"/>
          <w:sz w:val="22"/>
          <w:szCs w:val="22"/>
        </w:rPr>
        <w:t>negli</w:t>
      </w:r>
      <w:r>
        <w:rPr>
          <w:rFonts w:ascii="Arial" w:hAnsi="Arial"/>
          <w:sz w:val="22"/>
          <w:szCs w:val="22"/>
        </w:rPr>
        <w:t xml:space="preserve"> stili di vita delle persone (riduzione del consumo di carne e degli sprechi alimentari, ecc.), che potrebbero </w:t>
      </w:r>
      <w:r>
        <w:rPr>
          <w:rFonts w:ascii="Arial" w:hAnsi="Arial"/>
          <w:color w:val="000000"/>
          <w:sz w:val="22"/>
          <w:szCs w:val="22"/>
        </w:rPr>
        <w:t xml:space="preserve">danneggiare la </w:t>
      </w:r>
      <w:r>
        <w:rPr>
          <w:rFonts w:ascii="Arial" w:hAnsi="Arial"/>
          <w:sz w:val="22"/>
          <w:szCs w:val="22"/>
        </w:rPr>
        <w:t xml:space="preserve">redditività delle industrie agricole e zootecniche. Voi siete </w:t>
      </w:r>
      <w:r>
        <w:rPr>
          <w:rFonts w:ascii="Arial" w:hAnsi="Arial"/>
          <w:color w:val="000000"/>
          <w:sz w:val="22"/>
          <w:szCs w:val="22"/>
        </w:rPr>
        <w:t>contrari</w:t>
      </w:r>
      <w:r>
        <w:rPr>
          <w:rFonts w:ascii="Arial" w:hAnsi="Arial"/>
          <w:sz w:val="22"/>
          <w:szCs w:val="22"/>
        </w:rPr>
        <w:t xml:space="preserve"> a sostenere queste politiche anche se esse potrebbero </w:t>
      </w:r>
      <w:r>
        <w:rPr>
          <w:rFonts w:ascii="Arial" w:hAnsi="Arial"/>
          <w:color w:val="000000"/>
          <w:sz w:val="22"/>
          <w:szCs w:val="22"/>
        </w:rPr>
        <w:t>condurre a</w:t>
      </w:r>
      <w:r>
        <w:rPr>
          <w:rFonts w:ascii="Arial" w:hAnsi="Arial"/>
          <w:sz w:val="22"/>
          <w:szCs w:val="22"/>
        </w:rPr>
        <w:t xml:space="preserve"> una </w:t>
      </w:r>
      <w:r>
        <w:rPr>
          <w:rFonts w:ascii="Arial" w:hAnsi="Arial"/>
          <w:color w:val="000000"/>
          <w:sz w:val="22"/>
          <w:szCs w:val="22"/>
        </w:rPr>
        <w:t>larga</w:t>
      </w:r>
      <w:r>
        <w:rPr>
          <w:rFonts w:ascii="Arial" w:hAnsi="Arial"/>
          <w:sz w:val="22"/>
          <w:szCs w:val="22"/>
        </w:rPr>
        <w:t xml:space="preserve"> riduzione di tali emissioni. </w:t>
      </w:r>
      <w:r>
        <w:rPr>
          <w:rFonts w:ascii="Arial" w:hAnsi="Arial"/>
          <w:color w:val="000000"/>
          <w:sz w:val="22"/>
          <w:szCs w:val="22"/>
        </w:rPr>
        <w:t>Anche una vasta serie di prodotti fluorurati e composti derivati (CFC, HFC) c</w:t>
      </w:r>
      <w:r>
        <w:rPr>
          <w:rFonts w:ascii="Arial" w:hAnsi="Arial"/>
          <w:sz w:val="22"/>
          <w:szCs w:val="22"/>
        </w:rPr>
        <w:t xml:space="preserve">ontribuisce al riscaldamento globale; questi sono utilizzati </w:t>
      </w:r>
      <w:r>
        <w:rPr>
          <w:rFonts w:ascii="Arial" w:hAnsi="Arial"/>
          <w:color w:val="000000"/>
          <w:sz w:val="22"/>
          <w:szCs w:val="22"/>
        </w:rPr>
        <w:t>in</w:t>
      </w:r>
      <w:r>
        <w:rPr>
          <w:rFonts w:ascii="Arial" w:hAnsi="Arial"/>
          <w:sz w:val="22"/>
          <w:szCs w:val="22"/>
        </w:rPr>
        <w:t xml:space="preserve"> processi industriali e nei prodotti di consumo (refrigeranti, solventi, ecc.). Sebbene le loro concentrazioni siano attualmente basse, </w:t>
      </w:r>
      <w:r>
        <w:rPr>
          <w:rFonts w:ascii="Arial" w:hAnsi="Arial"/>
          <w:color w:val="000000"/>
          <w:sz w:val="22"/>
          <w:szCs w:val="22"/>
        </w:rPr>
        <w:t>le molecole di questi gas contribuiscono al riscaldamento migliaia di volte in più rispetto alle molecole di diossido di carbonio. Il nostro gruppo può sostenere queste politiche visto che non hanno impatto sulle nostre attività.</w:t>
      </w:r>
    </w:p>
    <w:p w:rsidR="00374956" w:rsidRDefault="00000000">
      <w:pPr>
        <w:widowControl/>
        <w:tabs>
          <w:tab w:val="left" w:pos="461"/>
        </w:tabs>
        <w:spacing w:after="119" w:line="283" w:lineRule="exact"/>
        <w:jc w:val="both"/>
      </w:pPr>
      <w:r>
        <w:rPr>
          <w:rStyle w:val="Bodytext2Bold"/>
          <w:rFonts w:ascii="Arial" w:hAnsi="Arial"/>
        </w:rPr>
        <w:t xml:space="preserve">4. Sostenere le sovvenzioni a favore delle energie rinnovabili. </w:t>
      </w:r>
      <w:r>
        <w:rPr>
          <w:rFonts w:ascii="Arial" w:hAnsi="Arial"/>
          <w:color w:val="000000"/>
          <w:sz w:val="22"/>
          <w:szCs w:val="22"/>
        </w:rPr>
        <w:t xml:space="preserve">Le emissioni di combustibili fossili, e non l’uso del suolo, costituiscono il principale contributo al riscaldamento globale. Possiamo sostenere la sostituzione dei combustibili fossili con energia pulita e </w:t>
      </w:r>
      <w:proofErr w:type="spellStart"/>
      <w:r>
        <w:rPr>
          <w:rFonts w:ascii="Arial" w:hAnsi="Arial"/>
          <w:color w:val="000000"/>
          <w:sz w:val="22"/>
          <w:szCs w:val="22"/>
        </w:rPr>
        <w:t>accessible</w:t>
      </w:r>
      <w:proofErr w:type="spellEnd"/>
      <w:r>
        <w:rPr>
          <w:rFonts w:ascii="Arial" w:hAnsi="Arial"/>
          <w:color w:val="000000"/>
          <w:sz w:val="22"/>
          <w:szCs w:val="22"/>
        </w:rPr>
        <w:t xml:space="preserve"> per il funzionamento dei macchinari e per il trasporto legato alla nostra produzione</w:t>
      </w:r>
      <w:r>
        <w:rPr>
          <w:rFonts w:ascii="Arial" w:hAnsi="Arial"/>
          <w:sz w:val="22"/>
          <w:szCs w:val="22"/>
        </w:rPr>
        <w:t xml:space="preserve">. </w:t>
      </w:r>
      <w:r>
        <w:rPr>
          <w:rStyle w:val="Bodytext20"/>
          <w:rFonts w:ascii="Arial" w:hAnsi="Arial"/>
        </w:rPr>
        <w:t>Gli allevatori e i proprietari terrieri possono installare impianti solari e turbine eoliche pur continuando a destinare la maggior parte dei terreni alle colture o all'allevamento del bestiame. Quindi il nostro gruppo sostiene i sussidi e i contributi a favore delle tecnologie energetiche rinnovabili. Tra noi l</w:t>
      </w:r>
      <w:r>
        <w:rPr>
          <w:rFonts w:ascii="Arial" w:hAnsi="Arial"/>
          <w:sz w:val="22"/>
          <w:szCs w:val="22"/>
        </w:rPr>
        <w:t xml:space="preserve">e grandi imprese forestali e agroindustriali si oppongono a politiche </w:t>
      </w:r>
      <w:r>
        <w:rPr>
          <w:rFonts w:ascii="Arial" w:hAnsi="Arial"/>
          <w:color w:val="000000"/>
          <w:sz w:val="22"/>
          <w:szCs w:val="22"/>
        </w:rPr>
        <w:t xml:space="preserve">di </w:t>
      </w:r>
      <w:r>
        <w:rPr>
          <w:rFonts w:ascii="Arial" w:hAnsi="Arial"/>
          <w:sz w:val="22"/>
          <w:szCs w:val="22"/>
        </w:rPr>
        <w:t xml:space="preserve">istituzione di un prezzo </w:t>
      </w:r>
      <w:r>
        <w:rPr>
          <w:rFonts w:ascii="Arial" w:hAnsi="Arial"/>
          <w:color w:val="000000"/>
          <w:sz w:val="22"/>
          <w:szCs w:val="22"/>
        </w:rPr>
        <w:t>del carbonio (carbon tax sui</w:t>
      </w:r>
      <w:r>
        <w:rPr>
          <w:rFonts w:ascii="Arial" w:hAnsi="Arial"/>
          <w:sz w:val="22"/>
          <w:szCs w:val="22"/>
        </w:rPr>
        <w:t xml:space="preserve"> combustibili fossili) poiché aumenterebbero i costi di funzionamento, mentre le Istituzioni per la tutela del territorio sostengono tali politiche al fine di accelerare la riduzione delle emissioni di CO</w:t>
      </w:r>
      <w:r>
        <w:rPr>
          <w:rFonts w:ascii="Arial" w:hAnsi="Arial"/>
          <w:sz w:val="22"/>
          <w:szCs w:val="22"/>
          <w:vertAlign w:val="subscript"/>
        </w:rPr>
        <w:t>2</w:t>
      </w:r>
      <w:r>
        <w:rPr>
          <w:rFonts w:ascii="Arial" w:hAnsi="Arial"/>
          <w:sz w:val="22"/>
          <w:szCs w:val="22"/>
        </w:rPr>
        <w:t>.</w:t>
      </w:r>
    </w:p>
    <w:p w:rsidR="00374956" w:rsidRDefault="00374956">
      <w:pPr>
        <w:widowControl/>
        <w:tabs>
          <w:tab w:val="left" w:pos="461"/>
        </w:tabs>
        <w:spacing w:line="283" w:lineRule="exact"/>
        <w:jc w:val="both"/>
        <w:rPr>
          <w:rFonts w:ascii="Arial" w:hAnsi="Arial"/>
          <w:sz w:val="22"/>
          <w:szCs w:val="22"/>
        </w:rPr>
      </w:pPr>
    </w:p>
    <w:p w:rsidR="00374956" w:rsidRDefault="00000000">
      <w:pPr>
        <w:pStyle w:val="Bodytext5"/>
        <w:widowControl/>
        <w:shd w:val="clear" w:color="auto" w:fill="auto"/>
        <w:spacing w:before="0" w:line="283" w:lineRule="exact"/>
      </w:pPr>
      <w:r>
        <w:rPr>
          <w:rFonts w:ascii="Arial" w:hAnsi="Arial"/>
        </w:rPr>
        <w:t>Ulteriori considerazioni</w:t>
      </w:r>
    </w:p>
    <w:p w:rsidR="00374956" w:rsidRDefault="00000000">
      <w:pPr>
        <w:widowControl/>
        <w:spacing w:after="120" w:line="283" w:lineRule="exact"/>
        <w:jc w:val="both"/>
      </w:pPr>
      <w:r>
        <w:rPr>
          <w:rFonts w:ascii="Arial" w:hAnsi="Arial"/>
          <w:sz w:val="22"/>
          <w:szCs w:val="22"/>
        </w:rPr>
        <w:t xml:space="preserve">La crescita </w:t>
      </w:r>
      <w:r>
        <w:rPr>
          <w:rFonts w:ascii="Arial" w:hAnsi="Arial"/>
          <w:color w:val="000000"/>
          <w:sz w:val="22"/>
          <w:szCs w:val="22"/>
        </w:rPr>
        <w:t>delle popolazioni</w:t>
      </w:r>
      <w:r>
        <w:rPr>
          <w:rFonts w:ascii="Arial" w:hAnsi="Arial"/>
          <w:sz w:val="22"/>
          <w:szCs w:val="22"/>
        </w:rPr>
        <w:t xml:space="preserve"> e l'aumento dei redditi stanno facendo aumentare la domanda di colture, carni, legno, fibre e altri prodotti </w:t>
      </w:r>
      <w:r>
        <w:rPr>
          <w:rFonts w:ascii="Arial" w:hAnsi="Arial"/>
          <w:color w:val="000000"/>
          <w:sz w:val="22"/>
          <w:szCs w:val="22"/>
        </w:rPr>
        <w:t>che richiedono un</w:t>
      </w:r>
      <w:r>
        <w:rPr>
          <w:rFonts w:ascii="Arial" w:hAnsi="Arial"/>
          <w:sz w:val="22"/>
          <w:szCs w:val="22"/>
        </w:rPr>
        <w:t xml:space="preserve"> uso intensivo </w:t>
      </w:r>
      <w:r>
        <w:rPr>
          <w:rFonts w:ascii="Arial" w:hAnsi="Arial"/>
          <w:color w:val="000000"/>
          <w:sz w:val="22"/>
          <w:szCs w:val="22"/>
        </w:rPr>
        <w:t>del suolo</w:t>
      </w:r>
      <w:r>
        <w:rPr>
          <w:rFonts w:ascii="Arial" w:hAnsi="Arial"/>
          <w:sz w:val="22"/>
          <w:szCs w:val="22"/>
        </w:rPr>
        <w:t xml:space="preserve">. </w:t>
      </w:r>
      <w:r>
        <w:rPr>
          <w:rFonts w:ascii="Arial" w:hAnsi="Arial"/>
          <w:color w:val="000000"/>
          <w:sz w:val="22"/>
          <w:szCs w:val="22"/>
        </w:rPr>
        <w:t xml:space="preserve">Anche oggi molte persone mancano di </w:t>
      </w:r>
      <w:r>
        <w:rPr>
          <w:rFonts w:ascii="Arial" w:hAnsi="Arial"/>
          <w:sz w:val="22"/>
          <w:szCs w:val="22"/>
        </w:rPr>
        <w:t>un'alimentazione adeguata,</w:t>
      </w:r>
      <w:r>
        <w:rPr>
          <w:rFonts w:ascii="Arial" w:hAnsi="Arial"/>
          <w:color w:val="000000"/>
          <w:sz w:val="22"/>
          <w:szCs w:val="22"/>
        </w:rPr>
        <w:t xml:space="preserve"> causa di </w:t>
      </w:r>
      <w:r>
        <w:rPr>
          <w:rFonts w:ascii="Arial" w:hAnsi="Arial"/>
          <w:sz w:val="22"/>
          <w:szCs w:val="22"/>
        </w:rPr>
        <w:t>malnutrizione e inedia in molti paesi. Tuttavia, secondo la FAO, circa un terzo della produzione alimentare mondiale viene sprecato.</w:t>
      </w:r>
    </w:p>
    <w:p w:rsidR="00374956" w:rsidRDefault="00000000">
      <w:pPr>
        <w:widowControl/>
        <w:spacing w:after="120" w:line="283" w:lineRule="exact"/>
        <w:jc w:val="both"/>
      </w:pPr>
      <w:r>
        <w:rPr>
          <w:rFonts w:ascii="Arial" w:hAnsi="Arial"/>
          <w:sz w:val="22"/>
          <w:szCs w:val="22"/>
        </w:rPr>
        <w:t xml:space="preserve">La riduzione degli sprechi alimentari, l'aumento delle rese agricole e la promozione di diete sane a base di alimenti vegetali possono soddisfare la crescente domanda di </w:t>
      </w:r>
      <w:r>
        <w:rPr>
          <w:rFonts w:ascii="Arial" w:hAnsi="Arial"/>
          <w:color w:val="000000"/>
          <w:sz w:val="22"/>
          <w:szCs w:val="22"/>
        </w:rPr>
        <w:t>cibo</w:t>
      </w:r>
      <w:r>
        <w:rPr>
          <w:rFonts w:ascii="Arial" w:hAnsi="Arial"/>
          <w:sz w:val="22"/>
          <w:szCs w:val="22"/>
        </w:rPr>
        <w:t xml:space="preserve"> senza bisogno di ampliare i terreni agricoli, riducendo nel contempo le emissioni di gas a effetto serra del settore agricolo. Tuttavia, il </w:t>
      </w:r>
      <w:r>
        <w:rPr>
          <w:rFonts w:ascii="Arial" w:hAnsi="Arial"/>
          <w:color w:val="000000"/>
          <w:sz w:val="22"/>
          <w:szCs w:val="22"/>
        </w:rPr>
        <w:t>nostro</w:t>
      </w:r>
      <w:r>
        <w:rPr>
          <w:rFonts w:ascii="Arial" w:hAnsi="Arial"/>
          <w:sz w:val="22"/>
          <w:szCs w:val="22"/>
        </w:rPr>
        <w:t xml:space="preserve"> settore non può fare </w:t>
      </w:r>
      <w:r>
        <w:rPr>
          <w:rFonts w:ascii="Arial" w:hAnsi="Arial"/>
          <w:color w:val="000000"/>
          <w:sz w:val="22"/>
          <w:szCs w:val="22"/>
        </w:rPr>
        <w:t>molto</w:t>
      </w:r>
      <w:r>
        <w:rPr>
          <w:rFonts w:ascii="Arial" w:hAnsi="Arial"/>
          <w:sz w:val="22"/>
          <w:szCs w:val="22"/>
        </w:rPr>
        <w:t xml:space="preserve"> prima che queste politiche facciano salire i prezzi del cibo. I </w:t>
      </w:r>
      <w:r>
        <w:rPr>
          <w:rFonts w:ascii="Arial" w:hAnsi="Arial"/>
          <w:color w:val="000000"/>
          <w:sz w:val="22"/>
          <w:szCs w:val="22"/>
        </w:rPr>
        <w:t xml:space="preserve">prezzi elevati implicano che </w:t>
      </w:r>
      <w:r>
        <w:rPr>
          <w:rFonts w:ascii="Arial" w:hAnsi="Arial"/>
          <w:sz w:val="22"/>
          <w:szCs w:val="22"/>
        </w:rPr>
        <w:t xml:space="preserve">l'accesso </w:t>
      </w:r>
      <w:r>
        <w:rPr>
          <w:rFonts w:ascii="Arial" w:hAnsi="Arial"/>
          <w:color w:val="000000"/>
          <w:sz w:val="22"/>
          <w:szCs w:val="22"/>
        </w:rPr>
        <w:t xml:space="preserve">al cibo </w:t>
      </w:r>
      <w:r>
        <w:rPr>
          <w:rFonts w:ascii="Arial" w:hAnsi="Arial"/>
          <w:sz w:val="22"/>
          <w:szCs w:val="22"/>
        </w:rPr>
        <w:t xml:space="preserve">potrebbe non essere garantito a coloro che ne hanno più bisogno. La promozione di diete a base di alimenti </w:t>
      </w:r>
      <w:r>
        <w:rPr>
          <w:rFonts w:ascii="Arial" w:hAnsi="Arial"/>
          <w:color w:val="000000"/>
          <w:sz w:val="22"/>
          <w:szCs w:val="22"/>
        </w:rPr>
        <w:t>vegetali inoltre</w:t>
      </w:r>
      <w:r>
        <w:rPr>
          <w:rFonts w:ascii="Arial" w:hAnsi="Arial"/>
          <w:sz w:val="22"/>
          <w:szCs w:val="22"/>
        </w:rPr>
        <w:t xml:space="preserve"> danneggerà </w:t>
      </w:r>
      <w:r>
        <w:rPr>
          <w:rFonts w:ascii="Arial" w:hAnsi="Arial"/>
          <w:color w:val="000000"/>
          <w:sz w:val="22"/>
          <w:szCs w:val="22"/>
        </w:rPr>
        <w:t>economicamente</w:t>
      </w:r>
      <w:r>
        <w:rPr>
          <w:rFonts w:ascii="Arial" w:hAnsi="Arial"/>
          <w:sz w:val="22"/>
          <w:szCs w:val="22"/>
        </w:rPr>
        <w:t xml:space="preserve"> il vasto settore dell’allevamento, al momento in crescita.</w:t>
      </w:r>
    </w:p>
    <w:p w:rsidR="00374956" w:rsidRDefault="00000000">
      <w:pPr>
        <w:widowControl/>
        <w:spacing w:after="120" w:line="283" w:lineRule="exact"/>
        <w:jc w:val="both"/>
      </w:pPr>
      <w:r>
        <w:rPr>
          <w:rFonts w:ascii="Arial" w:hAnsi="Arial"/>
          <w:sz w:val="22"/>
          <w:szCs w:val="22"/>
        </w:rPr>
        <w:t xml:space="preserve">In gran parte del mondo, sarà difficile modificare l'uso del suolo e i metodi agricoli. In molti paesi in via di sviluppo i benefici potenziali di un'agricoltura intelligente sotto il profilo climatico sono elevati, ma la corruzione e la mancanza di controlli rendono difficile l'attuazione di politiche in materia di uso del suolo. Gli sforzi compiuti </w:t>
      </w:r>
      <w:r>
        <w:rPr>
          <w:rFonts w:ascii="Arial" w:hAnsi="Arial"/>
          <w:color w:val="000000"/>
          <w:sz w:val="22"/>
          <w:szCs w:val="22"/>
        </w:rPr>
        <w:t>nel</w:t>
      </w:r>
      <w:r>
        <w:rPr>
          <w:rFonts w:ascii="Arial" w:hAnsi="Arial"/>
          <w:sz w:val="22"/>
          <w:szCs w:val="22"/>
        </w:rPr>
        <w:t xml:space="preserve"> passato per ridurre la deforestazione, principalmente in Brasile e Indonesia, hanno avuto successo solo in parte. La deforestazione illegale rimane un problema significativo. Alcuni governi sono attivamente impegnati a sovvenzionare la deforestazione per promuovere l'industria forestale e l’agricoltura industriale e per fornire terreni alle persone.</w:t>
      </w:r>
    </w:p>
    <w:p w:rsidR="00374956" w:rsidRDefault="00000000">
      <w:pPr>
        <w:widowControl/>
        <w:spacing w:after="120" w:line="283" w:lineRule="exact"/>
        <w:jc w:val="both"/>
      </w:pPr>
      <w:r>
        <w:rPr>
          <w:rFonts w:ascii="Arial" w:hAnsi="Arial"/>
          <w:sz w:val="22"/>
          <w:szCs w:val="22"/>
        </w:rPr>
        <w:t xml:space="preserve">Nonostante queste sfide, il riscaldamento globale rappresenta una grave minaccia per i membri del </w:t>
      </w:r>
      <w:r>
        <w:rPr>
          <w:rFonts w:ascii="Arial" w:hAnsi="Arial"/>
          <w:color w:val="000000"/>
          <w:sz w:val="22"/>
          <w:szCs w:val="22"/>
        </w:rPr>
        <w:t>nostro</w:t>
      </w:r>
      <w:r>
        <w:rPr>
          <w:rFonts w:ascii="Arial" w:hAnsi="Arial"/>
          <w:sz w:val="22"/>
          <w:szCs w:val="22"/>
        </w:rPr>
        <w:t xml:space="preserve"> gruppo. </w:t>
      </w:r>
      <w:r>
        <w:rPr>
          <w:rFonts w:ascii="Arial" w:hAnsi="Arial"/>
          <w:color w:val="000000"/>
          <w:sz w:val="22"/>
          <w:szCs w:val="22"/>
        </w:rPr>
        <w:t>Eventi</w:t>
      </w:r>
      <w:r>
        <w:rPr>
          <w:rFonts w:ascii="Arial" w:hAnsi="Arial"/>
          <w:sz w:val="22"/>
          <w:szCs w:val="22"/>
        </w:rPr>
        <w:t xml:space="preserve"> sempre più intensi e frequenti come le </w:t>
      </w:r>
      <w:r>
        <w:rPr>
          <w:rFonts w:ascii="Arial" w:hAnsi="Arial"/>
          <w:color w:val="000000"/>
          <w:sz w:val="22"/>
          <w:szCs w:val="22"/>
        </w:rPr>
        <w:t>esondazioni</w:t>
      </w:r>
      <w:r>
        <w:rPr>
          <w:rFonts w:ascii="Arial" w:hAnsi="Arial"/>
          <w:sz w:val="22"/>
          <w:szCs w:val="22"/>
        </w:rPr>
        <w:t xml:space="preserve">, la siccità, le ondate di calore, gli incendi boschivi e l'innalzamento del livello dei mari stanno già distruggendo il suolo </w:t>
      </w:r>
      <w:r>
        <w:rPr>
          <w:rFonts w:ascii="Arial" w:hAnsi="Arial"/>
          <w:color w:val="000000"/>
          <w:sz w:val="22"/>
          <w:szCs w:val="22"/>
        </w:rPr>
        <w:t>coltivabile</w:t>
      </w:r>
      <w:r>
        <w:rPr>
          <w:rFonts w:ascii="Arial" w:hAnsi="Arial"/>
          <w:sz w:val="22"/>
          <w:szCs w:val="22"/>
        </w:rPr>
        <w:t xml:space="preserve">, riducendo le rese agricole, danneggiando le foreste e </w:t>
      </w:r>
      <w:r>
        <w:rPr>
          <w:rFonts w:ascii="Arial" w:hAnsi="Arial"/>
          <w:color w:val="000000"/>
          <w:sz w:val="22"/>
          <w:szCs w:val="22"/>
        </w:rPr>
        <w:t>danneggiando</w:t>
      </w:r>
      <w:r>
        <w:rPr>
          <w:rFonts w:ascii="Arial" w:hAnsi="Arial"/>
          <w:sz w:val="22"/>
          <w:szCs w:val="22"/>
        </w:rPr>
        <w:t xml:space="preserve"> </w:t>
      </w:r>
      <w:r>
        <w:rPr>
          <w:rFonts w:ascii="Arial" w:hAnsi="Arial"/>
          <w:color w:val="000000"/>
          <w:sz w:val="22"/>
          <w:szCs w:val="22"/>
        </w:rPr>
        <w:t>i</w:t>
      </w:r>
      <w:r>
        <w:rPr>
          <w:rFonts w:ascii="Arial" w:hAnsi="Arial"/>
          <w:sz w:val="22"/>
          <w:szCs w:val="22"/>
        </w:rPr>
        <w:t xml:space="preserve"> profitti. Gli </w:t>
      </w:r>
      <w:r>
        <w:rPr>
          <w:rFonts w:ascii="Arial" w:hAnsi="Arial"/>
          <w:color w:val="000000"/>
          <w:sz w:val="22"/>
          <w:szCs w:val="22"/>
        </w:rPr>
        <w:t>impatti</w:t>
      </w:r>
      <w:r>
        <w:rPr>
          <w:rFonts w:ascii="Arial" w:hAnsi="Arial"/>
          <w:sz w:val="22"/>
          <w:szCs w:val="22"/>
        </w:rPr>
        <w:t xml:space="preserve"> del riscaldamento globale e le conseguenti perturbazioni di natura geopolitica rappresentano una grave minaccia per le nostre attività, la forza lavoro, le catene di approvvigionamento, i clienti e la redditività del </w:t>
      </w:r>
      <w:r>
        <w:rPr>
          <w:rFonts w:ascii="Arial" w:hAnsi="Arial"/>
          <w:color w:val="000000"/>
          <w:sz w:val="22"/>
          <w:szCs w:val="22"/>
        </w:rPr>
        <w:t>nostro</w:t>
      </w:r>
      <w:r>
        <w:rPr>
          <w:rFonts w:ascii="Arial" w:hAnsi="Arial"/>
          <w:sz w:val="22"/>
          <w:szCs w:val="22"/>
        </w:rPr>
        <w:t xml:space="preserve"> gruppo. Anche se il cambiamento sarà difficile e qualcuno ne risentirà finanziariamente, l'Alleanza che rappresentiamo può contribuire alla soluzione, riducendo le sue emissioni attraverso il miglioramento della gestione dei terreni e delle pratiche agricole.</w:t>
      </w:r>
    </w:p>
    <w:sectPr w:rsidR="00374956" w:rsidSect="00DF59EA">
      <w:footerReference w:type="default" r:id="rId8"/>
      <w:pgSz w:w="11906" w:h="16838"/>
      <w:pgMar w:top="513" w:right="964" w:bottom="251" w:left="96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2C3F" w:rsidRDefault="000F2C3F">
      <w:r>
        <w:separator/>
      </w:r>
    </w:p>
  </w:endnote>
  <w:endnote w:type="continuationSeparator" w:id="0">
    <w:p w:rsidR="000F2C3F" w:rsidRDefault="000F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F2C3F" w:rsidRDefault="000F2C3F">
      <w:r>
        <w:rPr>
          <w:color w:val="000000"/>
        </w:rPr>
        <w:separator/>
      </w:r>
    </w:p>
  </w:footnote>
  <w:footnote w:type="continuationSeparator" w:id="0">
    <w:p w:rsidR="000F2C3F" w:rsidRDefault="000F2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FB69C7"/>
    <w:multiLevelType w:val="multilevel"/>
    <w:tmpl w:val="AA26F086"/>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4191250A"/>
    <w:multiLevelType w:val="multilevel"/>
    <w:tmpl w:val="7708EBCE"/>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49D36EC0"/>
    <w:multiLevelType w:val="multilevel"/>
    <w:tmpl w:val="27AEB760"/>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735393674">
    <w:abstractNumId w:val="0"/>
  </w:num>
  <w:num w:numId="2" w16cid:durableId="1574242329">
    <w:abstractNumId w:val="1"/>
  </w:num>
  <w:num w:numId="3" w16cid:durableId="860246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74956"/>
    <w:rsid w:val="000F2C3F"/>
    <w:rsid w:val="00374956"/>
    <w:rsid w:val="00812F80"/>
    <w:rsid w:val="00DF59EA"/>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4:docId w14:val="7C3DE43B"/>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PiedepginaCar">
    <w:name w:val="Pie de página Car"/>
    <w:basedOn w:val="Fuentedeprrafopredeter"/>
    <w:rPr>
      <w:color w:val="000000"/>
    </w:rPr>
  </w:style>
  <w:style w:type="character" w:customStyle="1" w:styleId="il">
    <w:name w:val="il"/>
    <w:basedOn w:val="Fuentedeprrafopredete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1419</Words>
  <Characters>7808</Characters>
  <Application>Microsoft Office Word</Application>
  <DocSecurity>0</DocSecurity>
  <Lines>65</Lines>
  <Paragraphs>18</Paragraphs>
  <ScaleCrop>false</ScaleCrop>
  <Company/>
  <LinksUpToDate>false</LinksUpToDate>
  <CharactersWithSpaces>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2025-10-02T11:58:00Z</dcterms:created>
  <dcterms:modified xsi:type="dcterms:W3CDTF">2025-10-02T11:58:00Z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